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df" ContentType="application/pdf"/>
  <Override PartName="/word/media/rId27.pdf" ContentType="application/pdf"/>
  <Override PartName="/word/media/rId31.pdf" ContentType="application/pdf"/>
  <Override PartName="/word/media/rId35.pdf" ContentType="application/pdf"/>
  <Override PartName="/word/media/rId39.pdf" ContentType="application/pdf"/>
  <Override PartName="/word/media/rId43.pdf" ContentType="application/pdf"/>
  <Override PartName="/word/media/rId47.pdf" ContentType="application/pdf"/>
  <Override PartName="/word/media/rId91.png" ContentType="image/png"/>
  <Override PartName="/word/media/rId85.png" ContentType="image/png"/>
  <Override PartName="/word/media/rId79.png" ContentType="image/png"/>
  <Override PartName="/word/media/rId82.pdf" ContentType="application/pdf"/>
  <Override PartName="/word/media/rId94.png" ContentType="image/png"/>
  <Override PartName="/word/media/rId88.png" ContentType="image/png"/>
  <Override PartName="/word/media/rId73.png" ContentType="image/png"/>
  <Override PartName="/word/media/rId76.png" ContentType="image/png"/>
  <Override PartName="/word/media/rId61.pdf" ContentType="application/pdf"/>
  <Override PartName="/word/media/rId64.pdf" ContentType="application/pdf"/>
  <Override PartName="/word/media/rId70.pdf" ContentType="application/pdf"/>
  <Override PartName="/word/media/rId67.pdf" ContentType="application/pdf"/>
  <Override PartName="/word/media/rId97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 J.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Evidence from genome-wide association studies (GWAS) suggests that most</w:t>
      </w:r>
      <w:r>
        <w:t xml:space="preserve"> </w:t>
      </w:r>
      <w:r>
        <w:t xml:space="preserve">heritable variation in complex traits is mediated through regulation of</w:t>
      </w:r>
      <w:r>
        <w:t xml:space="preserve"> </w:t>
      </w:r>
      <w:r>
        <w:t xml:space="preserve">gene expression. The majority of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, suggesting a relatively</w:t>
      </w:r>
      <w:r>
        <w:t xml:space="preserve"> </w:t>
      </w:r>
      <w:r>
        <w:t xml:space="preserve">simple causal model in which a variant alters the homeostatic expression</w:t>
      </w:r>
      <w:r>
        <w:t xml:space="preserve"> </w:t>
      </w:r>
      <w:r>
        <w:t xml:space="preserve">level of a nearby gene which, in turn, alters a trait. Statistical</w:t>
      </w:r>
      <w:r>
        <w:t xml:space="preserve"> </w:t>
      </w:r>
      <w:r>
        <w:t xml:space="preserve">methods such as transcriptome-wide 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have used this idea to identify genes associated with multiple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12–15</w:t>
      </w:r>
      <w:r>
        <w:t xml:space="preserve">. However, despite the great</w:t>
      </w:r>
      <w:r>
        <w:t xml:space="preserve"> </w:t>
      </w:r>
      <w:r>
        <w:t xml:space="preserve">promise of these methods, explaining trait effects with local gene</w:t>
      </w:r>
      <w:r>
        <w:t xml:space="preserve"> </w:t>
      </w:r>
      <w:r>
        <w:t xml:space="preserve">regulation has been more difficult than initially assumed</w:t>
      </w:r>
      <w:r>
        <w:rPr>
          <w:vertAlign w:val="superscript"/>
        </w:rPr>
        <w:t xml:space="preserve">16,17</w:t>
      </w:r>
      <w:r>
        <w:t xml:space="preserve">. Although trait-associated variants</w:t>
      </w:r>
      <w:r>
        <w:t xml:space="preserve"> </w:t>
      </w:r>
      <w:r>
        <w:t xml:space="preserve">typically lie in non-coding, regulatory regions, these variants often</w:t>
      </w:r>
      <w:r>
        <w:t xml:space="preserve"> </w:t>
      </w:r>
      <w:r>
        <w:t xml:space="preserve">have no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 These observations suggest that the</w:t>
      </w:r>
      <w:r>
        <w:t xml:space="preserve"> </w:t>
      </w:r>
      <w:r>
        <w:t xml:space="preserve">relationship among genetic variants, gene expression, and organism-level</w:t>
      </w:r>
      <w:r>
        <w:t xml:space="preserve"> </w:t>
      </w:r>
      <w:r>
        <w:t xml:space="preserve">traits is more complex than the simple, local model.</w:t>
      </w:r>
    </w:p>
    <w:p>
      <w:pPr>
        <w:pStyle w:val="BodyText"/>
      </w:pPr>
      <w:r>
        <w:t xml:space="preserve">In recent years the conversation around the genetic architecture of</w:t>
      </w:r>
      <w:r>
        <w:t xml:space="preserve"> </w:t>
      </w:r>
      <w:r>
        <w:t xml:space="preserve">common disease traits has been addressing this complexity, and there is</w:t>
      </w:r>
      <w:r>
        <w:t xml:space="preserve"> </w:t>
      </w:r>
      <w:r>
        <w:t xml:space="preserve">increased interest in distal effects as potential drivers of trait</w:t>
      </w:r>
      <w:r>
        <w:t xml:space="preserve"> </w:t>
      </w:r>
      <w:r>
        <w:t xml:space="preserve">variation</w:t>
      </w:r>
      <w:r>
        <w:rPr>
          <w:vertAlign w:val="superscript"/>
        </w:rPr>
        <w:t xml:space="preserve">15,18–21</w:t>
      </w:r>
      <w:r>
        <w:t xml:space="preserve">. In particular, the omnigenic</w:t>
      </w:r>
      <w:r>
        <w:t xml:space="preserve"> </w:t>
      </w:r>
      <w:r>
        <w:t xml:space="preserve">model posits that trait-driving genes are cumulatively influenced by</w:t>
      </w:r>
      <w:r>
        <w:t xml:space="preserve"> </w:t>
      </w:r>
      <w:r>
        <w:t xml:space="preserve">many distal variants. In this view, the heritable transcriptomic</w:t>
      </w:r>
      <w:r>
        <w:t xml:space="preserve"> </w:t>
      </w:r>
      <w:r>
        <w:t xml:space="preserve">signatures driving clinical traits are an emergent state arising from</w:t>
      </w:r>
      <w:r>
        <w:t xml:space="preserve"> </w:t>
      </w:r>
      <w:r>
        <w:t xml:space="preserve">the myriad molecular interactions defining and constraining gene</w:t>
      </w:r>
      <w:r>
        <w:t xml:space="preserve"> </w:t>
      </w:r>
      <w:r>
        <w:t xml:space="preserve">expression. Consistent with this view, it has been suggested that part</w:t>
      </w:r>
      <w:r>
        <w:t xml:space="preserve"> </w:t>
      </w:r>
      <w:r>
        <w:t xml:space="preserve">of the difficulty in explaining trait variation through local eQTLs may</w:t>
      </w:r>
      <w:r>
        <w:t xml:space="preserve"> </w:t>
      </w:r>
      <w:r>
        <w:t xml:space="preserve">arise in part because gene expression is not measured in the appropriate</w:t>
      </w:r>
      <w:r>
        <w:t xml:space="preserve"> </w:t>
      </w:r>
      <w:r>
        <w:t xml:space="preserve">cell types</w:t>
      </w:r>
      <w:r>
        <w:rPr>
          <w:vertAlign w:val="superscript"/>
        </w:rPr>
        <w:t xml:space="preserve">16</w:t>
      </w:r>
      <w:r>
        <w:t xml:space="preserve">, or cell states</w:t>
      </w:r>
      <w:r>
        <w:rPr>
          <w:vertAlign w:val="superscript"/>
        </w:rPr>
        <w:t xml:space="preserve">22</w:t>
      </w:r>
      <w:r>
        <w:t xml:space="preserve">, and</w:t>
      </w:r>
      <w:r>
        <w:t xml:space="preserve"> </w:t>
      </w:r>
      <w:r>
        <w:t xml:space="preserve">thus local eQTLs influencing traits cannot be detected in bulk tissue</w:t>
      </w:r>
      <w:r>
        <w:t xml:space="preserve"> </w:t>
      </w:r>
      <w:r>
        <w:t xml:space="preserve">samples. This context dependence emphasizes the essential role of</w:t>
      </w:r>
      <w:r>
        <w:t xml:space="preserve"> </w:t>
      </w:r>
      <w:r>
        <w:t xml:space="preserve">complex regulatory and tissue networks in mediating variant effects. The</w:t>
      </w:r>
      <w:r>
        <w:t xml:space="preserve"> </w:t>
      </w:r>
      <w:r>
        <w:t xml:space="preserve">mechanistic dissection of complex traits in this model is more</w:t>
      </w:r>
      <w:r>
        <w:t xml:space="preserve"> </w:t>
      </w:r>
      <w:r>
        <w:t xml:space="preserve">challenging because it requires addressing network-mediated effects that</w:t>
      </w:r>
      <w:r>
        <w:t xml:space="preserve"> </w:t>
      </w:r>
      <w:r>
        <w:t xml:space="preserve">are weaker and greater in number. However, the comparative importance of</w:t>
      </w:r>
      <w:r>
        <w:t xml:space="preserve"> </w:t>
      </w:r>
      <w:r>
        <w:t xml:space="preserve">distal effects over local effects is currently only conjectured and</w:t>
      </w:r>
      <w:r>
        <w:t xml:space="preserve"> </w:t>
      </w:r>
      <w:r>
        <w:t xml:space="preserve">extremely challenging to address in human populations.</w:t>
      </w:r>
    </w:p>
    <w:p>
      <w:pPr>
        <w:pStyle w:val="BodyText"/>
      </w:pPr>
      <w:r>
        <w:t xml:space="preserve">To assess the role of wide-spread distal gene regulation in the genetic</w:t>
      </w:r>
      <w:r>
        <w:t xml:space="preserve"> </w:t>
      </w:r>
      <w:r>
        <w:t xml:space="preserve">architecture of complex traits, we used genetically diverse mice as a</w:t>
      </w:r>
      <w:r>
        <w:t xml:space="preserve"> </w:t>
      </w:r>
      <w:r>
        <w:t xml:space="preserve">model system. In mice we can obtain simultaneous measurements of the</w:t>
      </w:r>
      <w:r>
        <w:t xml:space="preserve"> </w:t>
      </w:r>
      <w:r>
        <w:t xml:space="preserve">genome, transcriptome, and phenome in all individuals. We used</w:t>
      </w:r>
      <w:r>
        <w:t xml:space="preserve"> </w:t>
      </w:r>
      <w:r>
        <w:t xml:space="preserve">diet-induced obesity and metabolic disease as an archetypal example of a</w:t>
      </w:r>
      <w:r>
        <w:t xml:space="preserve"> </w:t>
      </w:r>
      <w:r>
        <w:t xml:space="preserve">complex trait. In humans, these phenotypes are genetically complex with</w:t>
      </w:r>
      <w:r>
        <w:t xml:space="preserve"> </w:t>
      </w:r>
      <w:r>
        <w:t xml:space="preserve">hundreds of variants mapped through GWAS</w:t>
      </w:r>
      <w:r>
        <w:rPr>
          <w:vertAlign w:val="superscript"/>
        </w:rPr>
        <w:t xml:space="preserve">23,24</w:t>
      </w:r>
      <w:r>
        <w:t xml:space="preserve"> </w:t>
      </w:r>
      <w:r>
        <w:t xml:space="preserve">that are known to act through multiple tissues</w:t>
      </w:r>
      <w:r>
        <w:rPr>
          <w:vertAlign w:val="superscript"/>
        </w:rPr>
        <w:t xml:space="preserve">25,26</w:t>
      </w:r>
      <w:r>
        <w:t xml:space="preserve">. Likewise in mice, metabolic traits</w:t>
      </w:r>
      <w:r>
        <w:t xml:space="preserve"> </w:t>
      </w:r>
      <w:r>
        <w:t xml:space="preserve">are also genetically complex</w:t>
      </w:r>
      <w:r>
        <w:rPr>
          <w:vertAlign w:val="superscript"/>
        </w:rPr>
        <w:t xml:space="preserve">27</w:t>
      </w:r>
      <w:r>
        <w:t xml:space="preserve"> </w:t>
      </w:r>
      <w:r>
        <w:t xml:space="preserve">and synteny analysis</w:t>
      </w:r>
      <w:r>
        <w:t xml:space="preserve"> </w:t>
      </w:r>
      <w:r>
        <w:t xml:space="preserve">implicates a high degree of concordance in the genetic architecture</w:t>
      </w:r>
      <w:r>
        <w:t xml:space="preserve"> </w:t>
      </w:r>
      <w:r>
        <w:t xml:space="preserve">between species</w:t>
      </w:r>
      <w:r>
        <w:rPr>
          <w:vertAlign w:val="superscript"/>
        </w:rPr>
        <w:t xml:space="preserve">12,27</w:t>
      </w:r>
      <w:r>
        <w:t xml:space="preserve">. Furthermore, in</w:t>
      </w:r>
      <w:r>
        <w:t xml:space="preserve"> </w:t>
      </w:r>
      <w:r>
        <w:t xml:space="preserve">contrast to humans, in mice we have access to multiple disease-relevant</w:t>
      </w:r>
      <w:r>
        <w:t xml:space="preserve"> </w:t>
      </w:r>
      <w:r>
        <w:t xml:space="preserve">tissues in the same individuals with sufficient numbers for adequate</w:t>
      </w:r>
      <w:r>
        <w:t xml:space="preserve"> </w:t>
      </w:r>
      <w:r>
        <w:t xml:space="preserve">statistical power.</w:t>
      </w:r>
    </w:p>
    <w:p>
      <w:pPr>
        <w:pStyle w:val="BodyText"/>
      </w:pPr>
      <w:r>
        <w:t xml:space="preserve">We generated two complementary data sets: a discovery data set in a</w:t>
      </w:r>
      <w:r>
        <w:t xml:space="preserve"> </w:t>
      </w:r>
      <w:r>
        <w:t xml:space="preserve">large population of Diversity Outbred (DO) mice</w:t>
      </w:r>
      <w:r>
        <w:rPr>
          <w:vertAlign w:val="superscript"/>
        </w:rPr>
        <w:t xml:space="preserve">28</w:t>
      </w:r>
      <w:r>
        <w:t xml:space="preserve">, and</w:t>
      </w:r>
      <w:r>
        <w:t xml:space="preserve"> </w:t>
      </w:r>
      <w:r>
        <w:t xml:space="preserve">an independent validation data set derived by crossing inbred strains</w:t>
      </w:r>
      <w:r>
        <w:t xml:space="preserve"> </w:t>
      </w:r>
      <w:r>
        <w:t xml:space="preserve">from the Collaborative Cross (CC) recombinant inbred lines</w:t>
      </w:r>
      <w:r>
        <w:rPr>
          <w:vertAlign w:val="superscript"/>
        </w:rPr>
        <w:t xml:space="preserve">29</w:t>
      </w:r>
      <w:r>
        <w:t xml:space="preserve"> </w:t>
      </w:r>
      <w:r>
        <w:t xml:space="preserve">to form CC recombinant inbred intercross (CC-RIX)</w:t>
      </w:r>
      <w:r>
        <w:t xml:space="preserve"> </w:t>
      </w:r>
      <w:r>
        <w:t xml:space="preserve">mice. Both populations were maintained on a high-fat, high-sugar diet to</w:t>
      </w:r>
      <w:r>
        <w:t xml:space="preserve"> </w:t>
      </w:r>
      <w:r>
        <w:t xml:space="preserve">model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strains: five classical lab strains and three</w:t>
      </w:r>
      <w:r>
        <w:t xml:space="preserve"> </w:t>
      </w:r>
      <w:r>
        <w:t xml:space="preserve">strains more recently derived from wild mice</w:t>
      </w:r>
      <w:r>
        <w:rPr>
          <w:vertAlign w:val="superscript"/>
        </w:rPr>
        <w:t xml:space="preserve">28</w:t>
      </w:r>
      <w:r>
        <w:t xml:space="preserve">,</w:t>
      </w:r>
      <w:r>
        <w:t xml:space="preserve"> </w:t>
      </w:r>
      <w:r>
        <w:t xml:space="preserve">representing three subspecies and capturing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30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 and maximizing power to detect eQTLs</w:t>
      </w:r>
      <w:r>
        <w:rPr>
          <w:vertAlign w:val="superscript"/>
        </w:rPr>
        <w:t xml:space="preserve">28</w:t>
      </w:r>
      <w:r>
        <w:t xml:space="preserve">. The CC mice were initially intercrossed to</w:t>
      </w:r>
      <w:r>
        <w:t xml:space="preserve"> </w:t>
      </w:r>
      <w:r>
        <w:t xml:space="preserve">recombine the genomes from all eight founders, and then inbred for at</w:t>
      </w:r>
      <w:r>
        <w:t xml:space="preserve"> </w:t>
      </w:r>
      <w:r>
        <w:t xml:space="preserve">least 20 generations to create recombinant inbred lines</w:t>
      </w:r>
      <w:r>
        <w:rPr>
          <w:vertAlign w:val="superscript"/>
        </w:rPr>
        <w:t xml:space="preserve">29–31</w:t>
      </w:r>
      <w:r>
        <w:t xml:space="preserve">. Because these two populations have common ancestral</w:t>
      </w:r>
      <w:r>
        <w:t xml:space="preserve"> </w:t>
      </w:r>
      <w:r>
        <w:t xml:space="preserve">haplotypes but highly distinct kinship structure, we could directly and</w:t>
      </w:r>
      <w:r>
        <w:t xml:space="preserve"> </w:t>
      </w:r>
      <w:r>
        <w:t xml:space="preserve">unambiguously compare the local genetic effects on gene expression at</w:t>
      </w:r>
      <w:r>
        <w:t xml:space="preserve"> </w:t>
      </w:r>
      <w:r>
        <w:t xml:space="preserve">the whole-transcriptome level while varying the population structure</w:t>
      </w:r>
      <w:r>
        <w:t xml:space="preserve"> </w:t>
      </w:r>
      <w:r>
        <w:t xml:space="preserve">driving distal regulation.</w:t>
      </w:r>
    </w:p>
    <w:p>
      <w:pPr>
        <w:pStyle w:val="BodyText"/>
      </w:pPr>
      <w:r>
        <w:t xml:space="preserve">In the DO population, we paired clinically relevant metabolic traits,</w:t>
      </w:r>
      <w:r>
        <w:t xml:space="preserve"> </w:t>
      </w:r>
      <w:r>
        <w:t xml:space="preserve">including body weight and plasma levels of insulin, glucose and lipids</w:t>
      </w:r>
      <w:r>
        <w:rPr>
          <w:vertAlign w:val="superscript"/>
        </w:rPr>
        <w:t xml:space="preserve">12</w:t>
      </w:r>
      <w:r>
        <w:t xml:space="preserve">, with transcriptome-wide gene expression in four</w:t>
      </w:r>
      <w:r>
        <w:t xml:space="preserve"> </w:t>
      </w:r>
      <w:r>
        <w:t xml:space="preserve">tissues related to metabolic disease: adipose tissue, pancreatic islets,</w:t>
      </w:r>
      <w:r>
        <w:t xml:space="preserve"> </w:t>
      </w:r>
      <w:r>
        <w:t xml:space="preserve">liver, and skeletal muscle. We measured similar metabolic traits in a</w:t>
      </w:r>
      <w:r>
        <w:t xml:space="preserve"> </w:t>
      </w:r>
      <w:r>
        <w:t xml:space="preserve">CC-RIX population and gene expression from three of the four tissues</w:t>
      </w:r>
      <w:r>
        <w:t xml:space="preserve"> </w:t>
      </w:r>
      <w:r>
        <w:t xml:space="preserve">used in the DO: adipose tissue, liver, and skeletal muscle. Measuring</w:t>
      </w:r>
      <w:r>
        <w:t xml:space="preserve"> </w:t>
      </w:r>
      <w:r>
        <w:t xml:space="preserve">gene expression in multiple tissues is critical to adequately assess the</w:t>
      </w:r>
      <w:r>
        <w:t xml:space="preserve"> </w:t>
      </w:r>
      <w:r>
        <w:t xml:space="preserve">extent to which local gene regulation varies across the tissues and</w:t>
      </w:r>
      <w:r>
        <w:t xml:space="preserve"> </w:t>
      </w:r>
      <w:r>
        <w:t xml:space="preserve">whether such variability might account for previous failed attempts to</w:t>
      </w:r>
      <w:r>
        <w:t xml:space="preserve"> </w:t>
      </w:r>
      <w:r>
        <w:t xml:space="preserve">identify trait-relevant local eQTLs. The CC-RIX carry the same founder</w:t>
      </w:r>
      <w:r>
        <w:t xml:space="preserve"> </w:t>
      </w:r>
      <w:r>
        <w:t xml:space="preserve">alleles as the DO. Thus, local gene regulation is expected to match</w:t>
      </w:r>
      <w:r>
        <w:t xml:space="preserve"> </w:t>
      </w:r>
      <w:r>
        <w:t xml:space="preserve">between the populations. However, because the alleles are recombined</w:t>
      </w:r>
      <w:r>
        <w:t xml:space="preserve"> </w:t>
      </w:r>
      <w:r>
        <w:t xml:space="preserve">throughout the genome, distal effects are expected to vary from those in</w:t>
      </w:r>
      <w:r>
        <w:t xml:space="preserve"> </w:t>
      </w:r>
      <w:r>
        <w:t xml:space="preserve">the DO, allowing us to directly assess the role of distal gene</w:t>
      </w:r>
      <w:r>
        <w:t xml:space="preserve"> </w:t>
      </w:r>
      <w:r>
        <w:t xml:space="preserve">regulation in driving trait-associated transcript variation. To</w:t>
      </w:r>
      <w:r>
        <w:t xml:space="preserve"> </w:t>
      </w:r>
      <w:r>
        <w:t xml:space="preserve">mechanistically dissect distal effects on metabolic disease, we</w:t>
      </w:r>
      <w:r>
        <w:t xml:space="preserve"> </w:t>
      </w:r>
      <w:r>
        <w:t xml:space="preserve">developed a novel dimension reduction framework called high-dimensional</w:t>
      </w:r>
      <w:r>
        <w:t xml:space="preserve"> </w:t>
      </w:r>
      <w:r>
        <w:t xml:space="preserve">mediation analysis (HDMA) to identify the heritable transcriptomic</w:t>
      </w:r>
      <w:r>
        <w:t xml:space="preserve"> </w:t>
      </w:r>
      <w:r>
        <w:t xml:space="preserve">signatures driving trait variation, which we compared between mouse</w:t>
      </w:r>
      <w:r>
        <w:t xml:space="preserve"> </w:t>
      </w:r>
      <w:r>
        <w:t xml:space="preserve">populations and to human data sets with measured adipose gene</w:t>
      </w:r>
      <w:r>
        <w:t xml:space="preserve"> </w:t>
      </w:r>
      <w:r>
        <w:t xml:space="preserve">expression. Together, these data enable a comprehensive view into the</w:t>
      </w:r>
      <w:r>
        <w:t xml:space="preserve"> </w:t>
      </w:r>
      <w:r>
        <w:t xml:space="preserve">genetic architecture of metabolic disease.</w:t>
      </w:r>
    </w:p>
    <w:bookmarkEnd w:id="21"/>
    <w:bookmarkStart w:id="54" w:name="results"/>
    <w:p>
      <w:pPr>
        <w:pStyle w:val="Heading2"/>
      </w:pPr>
      <w:r>
        <w:t xml:space="preserve">Results</w:t>
      </w:r>
    </w:p>
    <w:bookmarkStart w:id="22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32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correlated, which, in</w:t>
      </w:r>
      <w:r>
        <w:t xml:space="preserve"> </w:t>
      </w:r>
      <w:r>
        <w:t xml:space="preserve">conjunction with the trait decomposition (Supp. Fig.</w:t>
      </w:r>
      <w:r>
        <w:t xml:space="preserve"> </w:t>
      </w:r>
      <w:hyperlink w:anchor="fig:trait_decomp">
        <w:r>
          <w:rPr>
            <w:rStyle w:val="Hyperlink"/>
          </w:rPr>
          <w:t xml:space="preserve">9</w:t>
        </w:r>
      </w:hyperlink>
      <w:r>
        <w:t xml:space="preserve">), suggests complex relationships among the</w:t>
      </w:r>
      <w:r>
        <w:t xml:space="preserve"> </w:t>
      </w:r>
      <w:r>
        <w:t xml:space="preserve">measured traits and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and pancreatic function.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</w:p>
        </w:tc>
      </w:tr>
    </w:tbl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2"/>
    <w:bookmarkStart w:id="26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). We performed eQTL analysis using R/qtl2</w:t>
      </w:r>
      <w:r>
        <w:rPr>
          <w:vertAlign w:val="superscript"/>
        </w:rPr>
        <w:t xml:space="preserve">33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B-E). Significant local eQTLs far outnumbered distal eQTLs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F) and tended to be shared across tissues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G) whereas the few significant distal eQTLs we</w:t>
      </w:r>
      <w:r>
        <w:t xml:space="preserve"> </w:t>
      </w:r>
      <w:r>
        <w:t xml:space="preserve">identified 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all non-local (distal) genetic factors (Methods). Overall, local and</w:t>
      </w:r>
      <w:r>
        <w:t xml:space="preserve"> </w:t>
      </w:r>
      <w:r>
        <w:t xml:space="preserve">distal genetic factors contributed approximately equally to transcript</w:t>
      </w:r>
      <w:r>
        <w:t xml:space="preserve"> </w:t>
      </w:r>
      <w:r>
        <w:t xml:space="preserve">abundance. In all tissues, both local and distal factors explained</w:t>
      </w:r>
      <w:r>
        <w:t xml:space="preserve"> </w:t>
      </w:r>
      <w:r>
        <w:t xml:space="preserve">between 8 and 18% 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Figures/Fig2_motivation.pdf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of transcript levels to</w:t>
      </w:r>
      <w:r>
        <w:t xml:space="preserve"> </w:t>
      </w:r>
      <w:r>
        <w:t xml:space="preserve">clinical traits, we compared the local and distal heritabilities of</w:t>
      </w:r>
      <w:r>
        <w:t xml:space="preserve"> </w:t>
      </w:r>
      <w:r>
        <w:t xml:space="preserve">transcripts to their trait relevance, defined as the maximum trait</w:t>
      </w:r>
      <w:r>
        <w:t xml:space="preserve"> </w:t>
      </w:r>
      <w:r>
        <w:t xml:space="preserve">correlation for each transcript. The local heritability of transcripts</w:t>
      </w:r>
      <w:r>
        <w:t xml:space="preserve"> </w:t>
      </w:r>
      <w:r>
        <w:t xml:space="preserve">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tissues. This finding is consistent with previous observations that</w:t>
      </w:r>
      <w:r>
        <w:t xml:space="preserve"> </w:t>
      </w:r>
      <w:r>
        <w:t xml:space="preserve">transcripts with low local heritability explain more expression-mediated</w:t>
      </w:r>
      <w:r>
        <w:t xml:space="preserve"> </w:t>
      </w:r>
      <w:r>
        <w:t xml:space="preserve">disease heritability than transcripts with high local heritability</w:t>
      </w:r>
      <w:r>
        <w:rPr>
          <w:vertAlign w:val="superscript"/>
        </w:rPr>
        <w:t xml:space="preserve">19</w:t>
      </w:r>
      <w:r>
        <w:t xml:space="preserve">. However, the positive relationship between trait</w:t>
      </w:r>
      <w:r>
        <w:t xml:space="preserve"> </w:t>
      </w:r>
      <w:r>
        <w:t xml:space="preserve">correlation and distal heritability demonstrated further that there are</w:t>
      </w:r>
      <w:r>
        <w:t xml:space="preserve"> </w:t>
      </w:r>
      <w:r>
        <w:t xml:space="preserve">diffuse genetic effects throughout the genome converging on</w:t>
      </w:r>
      <w:r>
        <w:t xml:space="preserve"> </w:t>
      </w:r>
      <w:r>
        <w:t xml:space="preserve">trait-related transcripts.</w:t>
      </w:r>
    </w:p>
    <w:bookmarkEnd w:id="26"/>
    <w:bookmarkStart w:id="30" w:name="X5cc221b186dd67c0e80448266231d3820f4d73e"/>
    <w:p>
      <w:pPr>
        <w:pStyle w:val="Heading3"/>
      </w:pPr>
      <w:r>
        <w:t xml:space="preserve">High-Dimensional Mediation Analysis identified a</w:t>
      </w:r>
      <w:r>
        <w:t xml:space="preserve"> </w:t>
      </w:r>
      <w:r>
        <w:t xml:space="preserve">high-heritability 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analysis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 high-dimensional genome,</w:t>
      </w:r>
      <w:r>
        <w:t xml:space="preserve"> </w:t>
      </w:r>
      <w:r>
        <w:t xml:space="preserve">transcriptome, and phenome data onto one-dimensional scores–a composite</w:t>
      </w:r>
      <w:r>
        <w:t xml:space="preserve"> </w:t>
      </w:r>
      <w:r>
        <w:t xml:space="preserve">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</w:t>
      </w:r>
      <w:r>
        <w:t xml:space="preserve"> </w:t>
      </w:r>
      <w:r>
        <w:t xml:space="preserve">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</w:t>
      </w:r>
      <w:r>
        <w:t xml:space="preserve"> </w:t>
      </w:r>
      <w:r>
        <w:t xml:space="preserve">mediation to constrain these projections to satisfy the hypotheses of</w:t>
      </w:r>
      <w:r>
        <w:t xml:space="preserve"> </w:t>
      </w:r>
      <w:r>
        <w:t xml:space="preserve">perfect mediation, namely that upon controlling for the transcriptomic</w:t>
      </w:r>
      <w:r>
        <w:t xml:space="preserve"> </w:t>
      </w:r>
      <w:r>
        <w:t xml:space="preserve">score, the genome score is uncorrelated to the phenome score. A complete</w:t>
      </w:r>
      <w:r>
        <w:t xml:space="preserve"> </w:t>
      </w:r>
      <w:r>
        <w:t xml:space="preserve">mathematical derivation and implementation details for HDMA are</w:t>
      </w:r>
      <w:r>
        <w:t xml:space="preserve"> </w:t>
      </w:r>
      <w:r>
        <w:t xml:space="preserve">available in Supp. 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Figures/Fig3_workflow.pdf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 mediation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34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10,000 times and recalculated the path coefficient,</w:t>
      </w:r>
      <w:r>
        <w:t xml:space="preserve"> </w:t>
      </w:r>
      <w:r>
        <w:t xml:space="preserve">which is the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 the</w:t>
      </w:r>
      <w:r>
        <w:t xml:space="preserve"> </w:t>
      </w:r>
      <w:r>
        <w:t xml:space="preserve">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strength of the</w:t>
      </w:r>
      <w:r>
        <w:t xml:space="preserve"> </w:t>
      </w:r>
      <w:r>
        <w:t xml:space="preserve">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a red line. The observed path coefficient was well</w:t>
      </w:r>
      <w:r>
        <w:t xml:space="preserve"> </w:t>
      </w:r>
      <w:r>
        <w:t xml:space="preserve">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0"/>
    <w:bookmarkStart w:id="34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a weighted combination of the measured</w:t>
      </w:r>
      <w:r>
        <w:t xml:space="preserve"> </w:t>
      </w:r>
      <w:r>
        <w:t xml:space="preserve">variables. The magnitude and sign of the weights, called loadings,</w:t>
      </w:r>
      <w:r>
        <w:t xml:space="preserve"> </w:t>
      </w:r>
      <w:r>
        <w:t xml:space="preserve">correspond to the relative importance and directionality of each</w:t>
      </w:r>
      <w:r>
        <w:t xml:space="preserve"> </w:t>
      </w:r>
      <w:r>
        <w:t xml:space="preserve">variable in the composite score. The loadings of each measured trait</w:t>
      </w:r>
      <w:r>
        <w:t xml:space="preserve"> </w:t>
      </w:r>
      <w:r>
        <w:t xml:space="preserve">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</w:t>
      </w:r>
      <w:r>
        <w:t xml:space="preserve"> </w:t>
      </w:r>
      <w:r>
        <w:t xml:space="preserve">phenotype. 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 homeostatic insulin resistance</w:t>
      </w:r>
      <w:r>
        <w:t xml:space="preserve"> </w:t>
      </w:r>
      <w:r>
        <w:t xml:space="preserve">(HOMA_IR) and fasting plasma insulin levels (Insulin_Fasting). We can</w:t>
      </w:r>
      <w:r>
        <w:t xml:space="preserve"> </w:t>
      </w:r>
      <w:r>
        <w:t xml:space="preserve">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</w:t>
      </w:r>
      <w:r>
        <w:t xml:space="preserve"> </w:t>
      </w:r>
      <w:r>
        <w:t xml:space="preserve">a higher metabolic disease index (MDI) and greater metabolic disease,</w:t>
      </w:r>
      <w:r>
        <w:t xml:space="preserve"> </w:t>
      </w:r>
      <w:r>
        <w:t xml:space="preserve">including higher body weight and higher insulin 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MDI going forward. Traits contributing the least to the</w:t>
      </w:r>
      <w:r>
        <w:t xml:space="preserve"> </w:t>
      </w:r>
      <w:r>
        <w:t xml:space="preserve">MDI were measures of cholesterol and pancreas composition. Thus, when we</w:t>
      </w:r>
      <w:r>
        <w:t xml:space="preserve"> </w:t>
      </w:r>
      <w:r>
        <w:t xml:space="preserve">interpret the transcriptomic signature identified by HDMA, we are</w:t>
      </w:r>
      <w:r>
        <w:t xml:space="preserve"> </w:t>
      </w:r>
      <w:r>
        <w:t xml:space="preserve">explaining primarily the putative transcriptional mediation of body</w:t>
      </w:r>
      <w:r>
        <w:t xml:space="preserve"> </w:t>
      </w:r>
      <w:r>
        <w:t xml:space="preserve">weight and insulin 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Figures/Fig4_interpretation.pdf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4"/>
    <w:bookmarkStart w:id="38" w:name="X45849de394c5973816b149f54a595aedc563867"/>
    <w:p>
      <w:pPr>
        <w:pStyle w:val="Heading3"/>
      </w:pPr>
      <w:r>
        <w:t xml:space="preserve">High-loading transcripts had low local heritability, high</w:t>
      </w:r>
      <w:r>
        <w:t xml:space="preserve"> </w:t>
      </w:r>
      <w:r>
        <w:t xml:space="preserve">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the MDI. Large positive loadings</w:t>
      </w:r>
      <w:r>
        <w:t xml:space="preserve"> </w:t>
      </w:r>
      <w:r>
        <w:t xml:space="preserve">indicate that higher expression was associated with a higher MDI</w:t>
      </w:r>
      <w:r>
        <w:t xml:space="preserve"> </w:t>
      </w:r>
      <w:r>
        <w:t xml:space="preserve">(i.e. higher risk of obesity and metabolic disease on the HFHS diet)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 negative loadings</w:t>
      </w:r>
      <w:r>
        <w:t xml:space="preserve"> </w:t>
      </w:r>
      <w:r>
        <w:t xml:space="preserve">indicate that high expression of these transcripts was associated with a</w:t>
      </w:r>
      <w:r>
        <w:t xml:space="preserve"> </w:t>
      </w:r>
      <w:r>
        <w:t xml:space="preserve">lower MDI (i.e. lower risk of obesity and metabolic disease on the HFHS</w:t>
      </w:r>
      <w:r>
        <w:t xml:space="preserve"> </w:t>
      </w:r>
      <w:r>
        <w:t xml:space="preserve">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</w:t>
      </w:r>
      <w:r>
        <w:t xml:space="preserve"> </w:t>
      </w:r>
      <w:r>
        <w:t xml:space="preserve">analysis (GSEA)</w:t>
      </w:r>
      <w:r>
        <w:rPr>
          <w:vertAlign w:val="superscript"/>
        </w:rPr>
        <w:t xml:space="preserve">35,36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12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the MDI, indicating that increased expression in inflammatory</w:t>
      </w:r>
      <w:r>
        <w:t xml:space="preserve"> </w:t>
      </w:r>
      <w:r>
        <w:t xml:space="preserve">pathways was associated with a higher burden of disease. It is well</w:t>
      </w:r>
      <w:r>
        <w:t xml:space="preserve"> </w:t>
      </w:r>
      <w:r>
        <w:t xml:space="preserve">established that adipose tissue in obese individuals is inflamed and</w:t>
      </w:r>
      <w:r>
        <w:t xml:space="preserve"> </w:t>
      </w:r>
      <w:r>
        <w:t xml:space="preserve">infiltrated by macrophages</w:t>
      </w:r>
      <w:r>
        <w:rPr>
          <w:vertAlign w:val="superscript"/>
        </w:rPr>
        <w:t xml:space="preserve">37–41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). Genes in the</w:t>
      </w:r>
      <w:r>
        <w:t xml:space="preserve"> </w:t>
      </w:r>
      <w:r>
        <w:t xml:space="preserve">KEGG oxidative phosphorylation pathway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MDI (Supp. Fig.</w:t>
      </w:r>
      <w:r>
        <w:t xml:space="preserve"> </w:t>
      </w:r>
      <w:hyperlink w:anchor="fig:oxPhos">
        <w:r>
          <w:rPr>
            <w:rStyle w:val="Hyperlink"/>
          </w:rPr>
          <w:t xml:space="preserve">13</w:t>
        </w:r>
      </w:hyperlink>
      <w:r>
        <w:t xml:space="preserve">). Consistent with this observation, it has been shown</w:t>
      </w:r>
      <w:r>
        <w:t xml:space="preserve"> </w:t>
      </w:r>
      <w:r>
        <w:t xml:space="preserve">previously that mouse strains with greater thermogenic potential are</w:t>
      </w:r>
      <w:r>
        <w:t xml:space="preserve"> </w:t>
      </w:r>
      <w:r>
        <w:t xml:space="preserve">also less susceptible to obesity on an obesigenic diet</w:t>
      </w:r>
      <w:r>
        <w:rPr>
          <w:vertAlign w:val="superscript"/>
        </w:rPr>
        <w:t xml:space="preserve">42</w:t>
      </w:r>
      <w:r>
        <w:t xml:space="preserve">.</w:t>
      </w:r>
    </w:p>
    <w:p>
      <w:pPr>
        <w:pStyle w:val="BodyText"/>
      </w:pPr>
      <w:r>
        <w:t xml:space="preserve">Transcripts associated with the citric acid cycle as well as the</w:t>
      </w:r>
      <w:r>
        <w:t xml:space="preserve"> </w:t>
      </w:r>
      <w:r>
        <w:t xml:space="preserve">catabolism of the branched-chain amino acids (valine, leuceine, and</w:t>
      </w:r>
      <w:r>
        <w:t xml:space="preserve"> </w:t>
      </w:r>
      <w:r>
        <w:t xml:space="preserve">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14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15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12,43,44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plot). This suggests that much of</w:t>
      </w:r>
      <w:r>
        <w:t xml:space="preserve"> </w:t>
      </w:r>
      <w:r>
        <w:t xml:space="preserve">the effect of genetics on body weight and insulin reisistance is</w:t>
      </w:r>
      <w:r>
        <w:t xml:space="preserve"> </w:t>
      </w:r>
      <w:r>
        <w:t xml:space="preserve">mediated through gene expression in adipose tissue. The strongest</w:t>
      </w:r>
      <w:r>
        <w:t xml:space="preserve"> </w:t>
      </w:r>
      <w:r>
        <w:t xml:space="preserve">loadings in liver and pancreas were comparable, and those in skeletal</w:t>
      </w:r>
      <w:r>
        <w:t xml:space="preserve"> </w:t>
      </w:r>
      <w:r>
        <w:t xml:space="preserve">muscle were 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</w:t>
      </w:r>
      <w:r>
        <w:t xml:space="preserve"> </w:t>
      </w:r>
      <w:r>
        <w:t xml:space="preserve">suggesting that less of the genetic effects were mediated through</w:t>
      </w:r>
      <w:r>
        <w:t xml:space="preserve"> </w:t>
      </w:r>
      <w:r>
        <w:t xml:space="preserve">transcription in skeletal muscle. As expected, heritability analysis</w:t>
      </w:r>
      <w:r>
        <w:t xml:space="preserve"> </w:t>
      </w:r>
      <w:r>
        <w:t xml:space="preserve">showed that transcripts with the largest loadings had higher distal</w:t>
      </w:r>
      <w:r>
        <w:t xml:space="preserve"> </w:t>
      </w:r>
      <w:r>
        <w:t xml:space="preserve">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Figures/Fig5_loading_heritability.pdf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38"/>
    <w:bookmarkStart w:id="42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genes, particularly in the liver,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45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45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46,47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48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49,50</w:t>
      </w:r>
      <w:r>
        <w:t xml:space="preserve">. The local and distal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 tissue suggesting its</w:t>
      </w:r>
      <w:r>
        <w:t xml:space="preserve"> </w:t>
      </w:r>
      <w:r>
        <w:t xml:space="preserve">expression in this tissue is highly constrained in 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liver is relatively high suggesting it is complexly regulated and has</w:t>
      </w:r>
      <w:r>
        <w:t xml:space="preserve"> </w:t>
      </w:r>
      <w:r>
        <w:t xml:space="preserve">sufficient variation in this population to drive variation in phenotype.</w:t>
      </w:r>
      <w:r>
        <w:t xml:space="preserve"> </w:t>
      </w:r>
      <w:r>
        <w:t xml:space="preserve">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</w:t>
      </w:r>
      <w:r>
        <w:t xml:space="preserve"> </w:t>
      </w:r>
      <w:r>
        <w:t xml:space="preserve">relatively high, but the loading is low, suggesting that variability of</w:t>
      </w:r>
      <w:r>
        <w:t xml:space="preserve"> </w:t>
      </w:r>
      <w:r>
        <w:t xml:space="preserve">expression in the islet does not drive variation in MDI. These results</w:t>
      </w:r>
      <w:r>
        <w:t xml:space="preserve"> </w:t>
      </w:r>
      <w:r>
        <w:t xml:space="preserve">highlight the importance of tissue context when investigating the role</w:t>
      </w:r>
      <w:r>
        <w:t xml:space="preserve"> </w:t>
      </w:r>
      <w:r>
        <w:t xml:space="preserve">of heritable transcript variability in driving phenotype.</w:t>
      </w:r>
    </w:p>
    <w:p>
      <w:pPr>
        <w:pStyle w:val="BodyText"/>
      </w:pPr>
      <w:r>
        <w:t xml:space="preserve">Gene lists for all clusters are available in Supp.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Figures/Fig6_TOA.pdf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2"/>
    <w:bookmarkStart w:id="46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31,51–53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MDI)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 column). The best</w:t>
      </w:r>
      <w:r>
        <w:t xml:space="preserve"> </w:t>
      </w:r>
      <w:r>
        <w:t xml:space="preserve">prediction was achieved for adipose tissue, which supports the</w:t>
      </w:r>
      <w:r>
        <w:t xml:space="preserve"> </w:t>
      </w:r>
      <w:r>
        <w:t xml:space="preserve">observation in the DO that adipose expression was the strongest mediator</w:t>
      </w:r>
      <w:r>
        <w:t xml:space="preserve"> </w:t>
      </w:r>
      <w:r>
        <w:t xml:space="preserve">of the genetic effect on MDI. This result also confirms the validity and</w:t>
      </w:r>
      <w:r>
        <w:t xml:space="preserve"> </w:t>
      </w:r>
      <w:r>
        <w:t xml:space="preserve">translatability of the transcript loadings and their relationship to</w:t>
      </w:r>
      <w:r>
        <w:t xml:space="preserve"> </w:t>
      </w:r>
      <w:r>
        <w:t xml:space="preserve">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Figures/Fig7_CC_Prediction.pdf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disease</w:t>
      </w:r>
      <w:r>
        <w:t xml:space="preserve"> </w:t>
      </w:r>
      <w:r>
        <w:t xml:space="preserve">index (MDI) and measured body weight. The left column shows the</w:t>
      </w:r>
      <w:r>
        <w:t xml:space="preserve"> </w:t>
      </w:r>
      <w:r>
        <w:t xml:space="preserve">predictions using measured transcripts. The right column shows</w:t>
      </w:r>
      <w:r>
        <w:t xml:space="preserve"> </w:t>
      </w:r>
      <w:r>
        <w:t xml:space="preserve">the prediction using transcript levels imputed from local genotype.</w:t>
      </w:r>
      <w:r>
        <w:t xml:space="preserve"> </w:t>
      </w:r>
      <w:r>
        <w:t xml:space="preserve">Gray boxes indicate measured quantities, and blue boxes indicate</w:t>
      </w:r>
      <w:r>
        <w:t xml:space="preserve"> </w:t>
      </w:r>
      <w:r>
        <w:t xml:space="preserve">calculated quantities. The dots in each panel represent individual</w:t>
      </w:r>
      <w:r>
        <w:t xml:space="preserve"> </w:t>
      </w:r>
      <w:r>
        <w:t xml:space="preserve">CC-RIX strains. The gray lines show the standard deviation on body</w:t>
      </w:r>
      <w:r>
        <w:t xml:space="preserve"> </w:t>
      </w:r>
      <w:r>
        <w:t xml:space="preserve">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trait-relevant gene expression, we should be able to predict</w:t>
      </w:r>
      <w:r>
        <w:t xml:space="preserve"> </w:t>
      </w:r>
      <w:r>
        <w:t xml:space="preserve">phenotype in the CC-RIX using transcripts imputed from local genotype</w:t>
      </w:r>
      <w:r>
        <w:t xml:space="preserve"> </w:t>
      </w:r>
      <w:r>
        <w:t xml:space="preserve">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</w:t>
      </w:r>
      <w:r>
        <w:t xml:space="preserve"> </w:t>
      </w:r>
      <w:r>
        <w:t xml:space="preserve">the same eight founder strains and so carry the same alleles throughout</w:t>
      </w:r>
      <w:r>
        <w:t xml:space="preserve"> </w:t>
      </w:r>
      <w:r>
        <w:t xml:space="preserve">the genome. We imputed gene expression in the CC-RIX using local</w:t>
      </w:r>
      <w:r>
        <w:t xml:space="preserve"> </w:t>
      </w:r>
      <w:r>
        <w:t xml:space="preserve">genotype and were able to estimate variation in gene transcription</w:t>
      </w:r>
      <w:r>
        <w:t xml:space="preserve"> </w:t>
      </w:r>
      <w:r>
        <w:t xml:space="preserve">robustly (Supp. Fig.</w:t>
      </w:r>
      <w:r>
        <w:t xml:space="preserve"> </w:t>
      </w:r>
      <w:hyperlink w:anchor="fig:cc_imputation">
        <w:r>
          <w:rPr>
            <w:rStyle w:val="Hyperlink"/>
          </w:rPr>
          <w:t xml:space="preserve">16</w:t>
        </w:r>
      </w:hyperlink>
      <w:r>
        <w:t xml:space="preserve">). However, these imputed</w:t>
      </w:r>
      <w:r>
        <w:t xml:space="preserve"> </w:t>
      </w:r>
      <w:r>
        <w:t xml:space="preserve">values failed to predict body weight in the CC-RIX when weighted with</w:t>
      </w:r>
      <w:r>
        <w:t xml:space="preserve"> </w:t>
      </w:r>
      <w:r>
        <w:t xml:space="preserve">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</w:t>
      </w:r>
      <w:r>
        <w:t xml:space="preserve"> </w:t>
      </w:r>
      <w:r>
        <w:t xml:space="preserve">This result suggests that local regulation of gene expression is not the</w:t>
      </w:r>
      <w:r>
        <w:t xml:space="preserve"> </w:t>
      </w:r>
      <w:r>
        <w:t xml:space="preserve">primary factor driving heritability of complex traits. It is also</w:t>
      </w:r>
      <w:r>
        <w:t xml:space="preserve"> </w:t>
      </w:r>
      <w:r>
        <w:t xml:space="preserve">consistent with our findings in the DO population that distal</w:t>
      </w:r>
      <w:r>
        <w:t xml:space="preserve"> </w:t>
      </w:r>
      <w:r>
        <w:t xml:space="preserve">heritability was a major driver of trait-relevant gene expression and</w:t>
      </w:r>
      <w:r>
        <w:t xml:space="preserve"> </w:t>
      </w:r>
      <w:r>
        <w:t xml:space="preserve">that high-loading transcripts had comparatively high distal and low</w:t>
      </w:r>
      <w:r>
        <w:t xml:space="preserve"> </w:t>
      </w:r>
      <w:r>
        <w:t xml:space="preserve">local heritability.</w:t>
      </w:r>
    </w:p>
    <w:bookmarkEnd w:id="46"/>
    <w:bookmarkStart w:id="50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 was a highly enriched process correlating with</w:t>
      </w:r>
      <w:r>
        <w:t xml:space="preserve"> </w:t>
      </w:r>
      <w:r>
        <w:t xml:space="preserve">obesity in the DO population. In humans, it has been extensively</w:t>
      </w:r>
      <w:r>
        <w:t xml:space="preserve"> </w:t>
      </w:r>
      <w:r>
        <w:t xml:space="preserve">observed that macrophage infiltration in adipose tissue is a marker of</w:t>
      </w:r>
      <w:r>
        <w:t xml:space="preserve"> </w:t>
      </w:r>
      <w:r>
        <w:t xml:space="preserve">obesity and metabolic disease</w:t>
      </w:r>
      <w:r>
        <w:rPr>
          <w:vertAlign w:val="superscript"/>
        </w:rPr>
        <w:t xml:space="preserve">54</w:t>
      </w:r>
      <w:r>
        <w:t xml:space="preserve">. To determine whether</w:t>
      </w:r>
      <w:r>
        <w:t xml:space="preserve"> </w:t>
      </w:r>
      <w:r>
        <w:t xml:space="preserve">the immune activation reflected a heritable change in cell composition</w:t>
      </w:r>
      <w:r>
        <w:t xml:space="preserve"> </w:t>
      </w:r>
      <w:r>
        <w:t xml:space="preserve">in adipose tissue in DO mice, we compared loadings of cell-type specific</w:t>
      </w:r>
      <w:r>
        <w:t xml:space="preserve"> </w:t>
      </w:r>
      <w:r>
        <w:t xml:space="preserve">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HFHS diet. Loadings for marker</w:t>
      </w:r>
      <w:r>
        <w:t xml:space="preserve"> </w:t>
      </w:r>
      <w:r>
        <w:t xml:space="preserve">genes for other cell types were not statistically different from zero,</w:t>
      </w:r>
      <w:r>
        <w:t xml:space="preserve"> </w:t>
      </w:r>
      <w:r>
        <w:t xml:space="preserve">indicating that changes in the abundance of those cell types is not a</w:t>
      </w:r>
      <w:r>
        <w:t xml:space="preserve"> </w:t>
      </w:r>
      <w:r>
        <w:t xml:space="preserve">mediator of MDI.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Figures/Fig8_Human_Translation.pdf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that mice with</w:t>
      </w:r>
      <w:r>
        <w:t xml:space="preserve"> </w:t>
      </w:r>
      <w:r>
        <w:t xml:space="preserve">higher MDI inherited an altered cell composition that predisposed them</w:t>
      </w:r>
      <w:r>
        <w:t xml:space="preserve"> </w:t>
      </w:r>
      <w:r>
        <w:t xml:space="preserve">to metabolic disease, or that these compositional changes were induced</w:t>
      </w:r>
      <w:r>
        <w:t xml:space="preserve"> </w:t>
      </w:r>
      <w:r>
        <w:t xml:space="preserve">by the HFHS diet in a heritable way.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MDI. Notably, the mean loading for pancreatic beta cell</w:t>
      </w:r>
      <w:r>
        <w:t xml:space="preserve"> </w:t>
      </w:r>
      <w:r>
        <w:t xml:space="preserve">marker transcripts was not significantly different from zero. We stress</w:t>
      </w:r>
      <w:r>
        <w:t xml:space="preserve"> </w:t>
      </w:r>
      <w:r>
        <w:t xml:space="preserve">that this is not necessarily reflective of the function of the beta</w:t>
      </w:r>
      <w:r>
        <w:t xml:space="preserve"> </w:t>
      </w:r>
      <w:r>
        <w:t xml:space="preserve">cells in the obese mice, but rather suggests that any variation in the</w:t>
      </w:r>
      <w:r>
        <w:t xml:space="preserve"> </w:t>
      </w:r>
      <w:r>
        <w:t xml:space="preserve">number of beta cells in these mice was unrelated to obesity and insulin</w:t>
      </w:r>
      <w:r>
        <w:t xml:space="preserve"> </w:t>
      </w:r>
      <w:r>
        <w:t xml:space="preserve">resistance, the major contributors to MDI. This is further consistent</w:t>
      </w:r>
      <w:r>
        <w:t xml:space="preserve"> </w:t>
      </w:r>
      <w:r>
        <w:t xml:space="preserve">with the islet composition traits having small loadings in the phenome</w:t>
      </w:r>
      <w:r>
        <w:t xml:space="preserve"> </w:t>
      </w:r>
      <w:r>
        <w:t xml:space="preserve">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0"/>
    <w:bookmarkStart w:id="51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mechanism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MDI for each individual in the human studies</w:t>
      </w:r>
      <w:r>
        <w:t xml:space="preserve"> </w:t>
      </w:r>
      <w:r>
        <w:t xml:space="preserve">based on their adipose tissue gene expression (Methods) and compared the</w:t>
      </w:r>
      <w:r>
        <w:t xml:space="preserve"> </w:t>
      </w:r>
      <w:r>
        <w:t xml:space="preserve">predicted scores for obese and non-obese groups as well as diabetic and</w:t>
      </w:r>
      <w:r>
        <w:t xml:space="preserve"> </w:t>
      </w:r>
      <w:r>
        <w:t xml:space="preserve">non-diabetic groups. In all cases, the predicted MDIs were higher on</w:t>
      </w:r>
      <w:r>
        <w:t xml:space="preserve"> </w:t>
      </w:r>
      <w:r>
        <w:t xml:space="preserve">average for individuals in the obese and diabetic groups compared with</w:t>
      </w:r>
      <w:r>
        <w:t xml:space="preserve"> </w:t>
      </w:r>
      <w:r>
        <w:t xml:space="preserve">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</w:t>
      </w:r>
      <w:r>
        <w:t xml:space="preserve"> </w:t>
      </w:r>
      <w:r>
        <w:t xml:space="preserve">This indicates that the distally heritable signature of MDI identified</w:t>
      </w:r>
      <w:r>
        <w:t xml:space="preserve"> </w:t>
      </w:r>
      <w:r>
        <w:t xml:space="preserve">in DO mice is relevant to obesity and diabetes in human subjects.</w:t>
      </w:r>
    </w:p>
    <w:bookmarkEnd w:id="51"/>
    <w:bookmarkStart w:id="53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55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 To test this hypothesis, we queried the CMAP</w:t>
      </w:r>
      <w:r>
        <w:t xml:space="preserve"> </w:t>
      </w:r>
      <w:r>
        <w:t xml:space="preserve">database through the CLUE online query tool</w:t>
      </w:r>
      <w:r>
        <w:t xml:space="preserve"> </w:t>
      </w:r>
      <w:r>
        <w:t xml:space="preserve">(</w:t>
      </w:r>
      <w:hyperlink r:id="rId52">
        <w:r>
          <w:rPr>
            <w:rStyle w:val="Hyperlink"/>
          </w:rPr>
          <w:t xml:space="preserve">https://clue.io/query/</w:t>
        </w:r>
      </w:hyperlink>
      <w:r>
        <w:t xml:space="preserve">, version 1.1.1.43) (Methods). We</w:t>
      </w:r>
      <w:r>
        <w:t xml:space="preserve"> </w:t>
      </w:r>
      <w:r>
        <w:t xml:space="preserve">identified top anti-correlated hits across all cell types 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). To get more</w:t>
      </w:r>
      <w:r>
        <w:t xml:space="preserve"> </w:t>
      </w:r>
      <w:r>
        <w:t xml:space="preserve">tissue-specific results, we also looked at top results in cell types</w:t>
      </w:r>
      <w:r>
        <w:t xml:space="preserve"> </w:t>
      </w:r>
      <w:r>
        <w:t xml:space="preserve">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56,57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57–59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60,61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62–64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65,66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67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68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69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70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71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72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73,74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75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76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77,78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79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77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80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81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3"/>
    <w:bookmarkEnd w:id="54"/>
    <w:bookmarkStart w:id="55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The adipose-derived</w:t>
      </w:r>
      <w:r>
        <w:t xml:space="preserve"> </w:t>
      </w:r>
      <w:r>
        <w:t xml:space="preserve">composite transcript robustly predicted body weight in an independent</w:t>
      </w:r>
      <w:r>
        <w:t xml:space="preserve"> </w:t>
      </w:r>
      <w:r>
        <w:t xml:space="preserve">cohort of diverse mice with disparate population structure, as well as</w:t>
      </w:r>
      <w:r>
        <w:t xml:space="preserve"> </w:t>
      </w:r>
      <w:r>
        <w:t xml:space="preserve">to humans. However, gene expression imputed from local genotype failed</w:t>
      </w:r>
      <w:r>
        <w:t xml:space="preserve"> </w:t>
      </w:r>
      <w:r>
        <w:t xml:space="preserve">to predict body weight in the second population. Taken together, these</w:t>
      </w:r>
      <w:r>
        <w:t xml:space="preserve"> </w:t>
      </w:r>
      <w:r>
        <w:t xml:space="preserve">results highlight the complexity of gene expression regulation in</w:t>
      </w:r>
      <w:r>
        <w:t xml:space="preserve"> </w:t>
      </w:r>
      <w:r>
        <w:t xml:space="preserve">relation to trait heritability and suggest that heritable trait</w:t>
      </w:r>
      <w:r>
        <w:t xml:space="preserve"> </w:t>
      </w:r>
      <w:r>
        <w:t xml:space="preserve">variation is mediated primarily through distal gene regulation.</w:t>
      </w:r>
    </w:p>
    <w:bookmarkEnd w:id="55"/>
    <w:bookmarkStart w:id="56" w:name="supplemental-discussion"/>
    <w:p>
      <w:pPr>
        <w:pStyle w:val="Heading2"/>
      </w:pPr>
      <w:r>
        <w:t xml:space="preserve">Supplemental Discussion</w:t>
      </w:r>
    </w:p>
    <w:p>
      <w:pPr>
        <w:pStyle w:val="FirstParagraph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18,19,82,83</w:t>
      </w:r>
      <w:r>
        <w:t xml:space="preserve">. It has been observed that</w:t>
      </w:r>
      <w:r>
        <w:t xml:space="preserve"> </w:t>
      </w:r>
      <w:r>
        <w:t xml:space="preserve">transcripts with high local heritability explain less</w:t>
      </w:r>
      <w:r>
        <w:t xml:space="preserve"> </w:t>
      </w:r>
      <w:r>
        <w:t xml:space="preserve">expression-mediated disease heritability than those with low local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19</w:t>
      </w:r>
      <w:r>
        <w:t xml:space="preserve">. Consistent with this observation,</w:t>
      </w:r>
      <w:r>
        <w:t xml:space="preserve"> </w:t>
      </w:r>
      <w:r>
        <w:t xml:space="preserve">genes located near GWAS hits tend to be complexly regulated</w:t>
      </w:r>
      <w:r>
        <w:rPr>
          <w:vertAlign w:val="superscript"/>
        </w:rPr>
        <w:t xml:space="preserve">18</w:t>
      </w:r>
      <w:r>
        <w:t xml:space="preserve">. They also tend to be enriched with functional</w:t>
      </w:r>
      <w:r>
        <w:t xml:space="preserve"> </w:t>
      </w:r>
      <w:r>
        <w:t xml:space="preserve">annotations, in contrast to genes with simple local regulation, which</w:t>
      </w:r>
      <w:r>
        <w:t xml:space="preserve"> </w:t>
      </w:r>
      <w:r>
        <w:t xml:space="preserve">tend to be depleted of functional annotations suggesting they are less</w:t>
      </w:r>
      <w:r>
        <w:t xml:space="preserve"> </w:t>
      </w:r>
      <w:r>
        <w:t xml:space="preserve">likely to be directly involved in disease traits</w:t>
      </w:r>
      <w:r>
        <w:rPr>
          <w:vertAlign w:val="superscript"/>
        </w:rPr>
        <w:t xml:space="preserve">18</w:t>
      </w:r>
      <w:r>
        <w:t xml:space="preserve">.</w:t>
      </w:r>
      <w:r>
        <w:t xml:space="preserve"> </w:t>
      </w:r>
      <w:r>
        <w:t xml:space="preserve">These observations are consistent with principles of robustness in</w:t>
      </w:r>
      <w:r>
        <w:t xml:space="preserve"> </w:t>
      </w:r>
      <w:r>
        <w:t xml:space="preserve">complex systems in which simple regulation of important elements leads</w:t>
      </w:r>
      <w:r>
        <w:t xml:space="preserve"> </w:t>
      </w:r>
      <w:r>
        <w:t xml:space="preserve">to fragility of the system</w:t>
      </w:r>
      <w:r>
        <w:rPr>
          <w:vertAlign w:val="superscript"/>
        </w:rPr>
        <w:t xml:space="preserve">84–86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also consistent with the recently proposed omnigenic</w:t>
      </w:r>
      <w:r>
        <w:t xml:space="preserve"> </w:t>
      </w:r>
      <w:r>
        <w:t xml:space="preserve">model,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87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we were</w:t>
      </w:r>
      <w:r>
        <w:t xml:space="preserve"> </w:t>
      </w:r>
      <w:r>
        <w:t xml:space="preserve">able to fit this model and identified a composite transcript that, when</w:t>
      </w:r>
      <w:r>
        <w:t xml:space="preserve"> </w:t>
      </w:r>
      <w:r>
        <w:t xml:space="preserve">taken into account, left no residual correlation between the composite</w:t>
      </w:r>
      <w:r>
        <w:t xml:space="preserve"> </w:t>
      </w:r>
      <w:r>
        <w:t xml:space="preserve">genome and composite phenome scores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rPr>
          <w:vertAlign w:val="superscript"/>
        </w:rPr>
        <w:t xml:space="preserve">88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82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inslin and glucagon release</w:t>
      </w:r>
      <w:r>
        <w:rPr>
          <w:vertAlign w:val="superscript"/>
        </w:rPr>
        <w:t xml:space="preserve">89–91</w:t>
      </w:r>
      <w:r>
        <w:t xml:space="preserve">. Although its</w:t>
      </w:r>
      <w:r>
        <w:t xml:space="preserve"> </w:t>
      </w:r>
      <w:r>
        <w:t xml:space="preserve">transcription was highly heritable in islets, that regulation was</w:t>
      </w:r>
      <w:r>
        <w:t xml:space="preserve"> </w:t>
      </w:r>
      <w:r>
        <w:t xml:space="preserve">distributed across the genome, with no clear 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21</w:t>
        </w:r>
      </w:hyperlink>
      <w:r>
        <w:t xml:space="preserve">). Thus, although distal regulation of some genes</w:t>
      </w:r>
      <w:r>
        <w:t xml:space="preserve"> </w:t>
      </w:r>
      <w:r>
        <w:t xml:space="preserve">may be strong, this regulation is likely to be highly complex and not</w:t>
      </w:r>
      <w:r>
        <w:t xml:space="preserve"> </w:t>
      </w:r>
      <w:r>
        <w:t xml:space="preserve">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45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46–50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6"/>
    <w:bookmarkStart w:id="59" w:name="data-and-code-availability"/>
    <w:p>
      <w:pPr>
        <w:pStyle w:val="Heading2"/>
      </w:pPr>
      <w:r>
        <w:t xml:space="preserve">Data and Code</w:t>
      </w:r>
      <w:r>
        <w:t xml:space="preserve"> </w:t>
      </w:r>
      <w:r>
        <w:t xml:space="preserve">Availability</w:t>
      </w:r>
    </w:p>
    <w:p>
      <w:pPr>
        <w:pStyle w:val="FirstParagraph"/>
      </w:pPr>
      <w:r>
        <w:rPr>
          <w:bCs/>
          <w:b/>
        </w:rPr>
        <w:t xml:space="preserve">DO mice:</w:t>
      </w:r>
      <w:r>
        <w:t xml:space="preserve"> </w:t>
      </w:r>
      <w:r>
        <w:t xml:space="preserve">Genotypes, phenotypes, and pancreatic islet gene</w:t>
      </w:r>
      <w:r>
        <w:t xml:space="preserve"> </w:t>
      </w:r>
      <w:r>
        <w:t xml:space="preserve">expression data were previously published</w:t>
      </w:r>
      <w:r>
        <w:rPr>
          <w:vertAlign w:val="superscript"/>
        </w:rPr>
        <w:t xml:space="preserve">12</w:t>
      </w:r>
      <w:r>
        <w:t xml:space="preserve">. Gene</w:t>
      </w:r>
      <w:r>
        <w:t xml:space="preserve"> </w:t>
      </w:r>
      <w:r>
        <w:t xml:space="preserve">expression for the other tissues can be found at the Gene Expression</w:t>
      </w:r>
      <w:r>
        <w:t xml:space="preserve"> </w:t>
      </w:r>
      <w:r>
        <w:t xml:space="preserve">Omnibus</w:t>
      </w:r>
      <w:r>
        <w:t xml:space="preserve"> </w:t>
      </w:r>
      <w:hyperlink r:id="rId57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GSE266567. Expression data with</w:t>
      </w:r>
      <w:r>
        <w:t xml:space="preserve"> </w:t>
      </w:r>
      <w:r>
        <w:t xml:space="preserve">calculated eQTLs are available at Figshare</w:t>
      </w:r>
      <w:r>
        <w:t xml:space="preserve"> </w:t>
      </w:r>
      <w:hyperlink r:id="rId58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CC-RIX mice</w:t>
      </w:r>
      <w:r>
        <w:t xml:space="preserve">: Gene expression can be found at the Gene</w:t>
      </w:r>
      <w:r>
        <w:t xml:space="preserve"> </w:t>
      </w:r>
      <w:r>
        <w:t xml:space="preserve">Expression Omnibus</w:t>
      </w:r>
      <w:r>
        <w:t xml:space="preserve"> </w:t>
      </w:r>
      <w:hyperlink r:id="rId57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</w:t>
      </w:r>
      <w:r>
        <w:t xml:space="preserve"> </w:t>
      </w:r>
      <w:r>
        <w:t xml:space="preserve">following accession numbers: CC-RIX adipose tissue - GSE237737; CC-RIX</w:t>
      </w:r>
      <w:r>
        <w:t xml:space="preserve"> </w:t>
      </w:r>
      <w:r>
        <w:t xml:space="preserve">liver tissue - GSE237743; CC-RIX skeletal muscle - GSE237747. Count</w:t>
      </w:r>
      <w:r>
        <w:t xml:space="preserve"> </w:t>
      </w:r>
      <w:r>
        <w:t xml:space="preserve">matrices and phenotype data can be found at Figshare</w:t>
      </w:r>
      <w:r>
        <w:t xml:space="preserve"> </w:t>
      </w:r>
      <w:hyperlink r:id="rId58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Code</w:t>
      </w:r>
      <w:r>
        <w:t xml:space="preserve">: All code used to run the analyses reported here are</w:t>
      </w:r>
      <w:r>
        <w:t xml:space="preserve"> </w:t>
      </w:r>
      <w:r>
        <w:t xml:space="preserve">available at Figshare:</w:t>
      </w:r>
      <w:r>
        <w:t xml:space="preserve"> </w:t>
      </w:r>
      <w:hyperlink r:id="rId58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</w:t>
      </w:r>
      <w:r>
        <w:t xml:space="preserve"> </w:t>
      </w:r>
      <w:r>
        <w:t xml:space="preserve">10.6084/m9.figshare.27066979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This project was supported by The Jackson Laboratory Cube Initiative, as</w:t>
      </w:r>
      <w:r>
        <w:t xml:space="preserve"> </w:t>
      </w:r>
      <w:r>
        <w:t xml:space="preserve">well as grants from the National Institutes of Health (grant numbers.:</w:t>
      </w:r>
      <w:r>
        <w:t xml:space="preserve"> </w:t>
      </w:r>
      <w:r>
        <w:t xml:space="preserve">R01DK101573, R01DK102948, and RC2DK125961) (to A. D. A.) and by the</w:t>
      </w:r>
      <w:r>
        <w:t xml:space="preserve"> </w:t>
      </w:r>
      <w:r>
        <w:t xml:space="preserve">University of Wisconsin-Madison, Department of Biochemistry and Office</w:t>
      </w:r>
      <w:r>
        <w:t xml:space="preserve"> </w:t>
      </w:r>
      <w:r>
        <w:t xml:space="preserve">of the Vice Chancellor for Research and Graduate Education with funding</w:t>
      </w:r>
      <w:r>
        <w:t xml:space="preserve"> </w:t>
      </w:r>
      <w:r>
        <w:t xml:space="preserve">from the Wisconsin Alumni Research Foundation (to M. P. K.).</w:t>
      </w:r>
    </w:p>
    <w:p>
      <w:pPr>
        <w:pStyle w:val="BodyText"/>
      </w:pPr>
      <w:r>
        <w:t xml:space="preserve">We thank the following scientific services at The Jackson Laboratory:</w:t>
      </w:r>
      <w:r>
        <w:t xml:space="preserve"> </w:t>
      </w:r>
      <w:r>
        <w:t xml:space="preserve">Genome Technologies for the RNA sequencing, necropsy services for the</w:t>
      </w:r>
      <w:r>
        <w:t xml:space="preserve"> </w:t>
      </w:r>
      <w:r>
        <w:t xml:space="preserve">tissue harvests, and the Center for Biometric Analysis for metabolic</w:t>
      </w:r>
      <w:r>
        <w:t xml:space="preserve"> </w:t>
      </w:r>
      <w:r>
        <w:t xml:space="preserve">phenotyping.</w:t>
      </w:r>
    </w:p>
    <w:bookmarkEnd w:id="60"/>
    <w:bookmarkStart w:id="193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_Trait_Decomposition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Trait matrix decomposition.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The heat map</w:t>
      </w:r>
      <w:r>
        <w:t xml:space="preserve"> </w:t>
      </w:r>
      <w:r>
        <w:t xml:space="preserve">shows the loadings of each trait onto each principal component</w:t>
      </w:r>
      <w:r>
        <w:t xml:space="preserve"> </w:t>
      </w:r>
      <w:r>
        <w:t xml:space="preserve">of the trait matrix. The bars at the top show the percent variance</w:t>
      </w:r>
      <w:r>
        <w:t xml:space="preserve"> </w:t>
      </w:r>
      <w:r>
        <w:t xml:space="preserve">explained for each principal component.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Traits plotted</w:t>
      </w:r>
      <w:r>
        <w:t xml:space="preserve"> </w:t>
      </w:r>
      <w:r>
        <w:t xml:space="preserve">by the first and second principal components of the trait matrix.</w:t>
      </w:r>
      <w:r>
        <w:t xml:space="preserve"> </w:t>
      </w:r>
      <w:r>
        <w:t xml:space="preserve">This view shows clustering of traits into insulin- and</w:t>
      </w:r>
      <w:r>
        <w:t xml:space="preserve"> </w:t>
      </w:r>
      <w:r>
        <w:t xml:space="preserve">weight-related traits, lipid-related traits, and ex-vivo</w:t>
      </w:r>
      <w:r>
        <w:t xml:space="preserve"> </w:t>
      </w:r>
      <w:r>
        <w:t xml:space="preserve">pancreatic measurements.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QTL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eQTLs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eQTLs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KEGG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enrichments_GO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OxPhos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TCA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Branched_Chain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CC-RIX_Imputation.pdf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 transcript as</w:t>
      </w:r>
      <w:r>
        <w:t xml:space="preserve"> </w:t>
      </w:r>
      <w:r>
        <w:t xml:space="preserve">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tissue composite transcript</w:t>
      </w:r>
      <w:r>
        <w:t xml:space="preserve"> </w:t>
      </w:r>
      <w:r>
        <w:t xml:space="preserve">as 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Adipose_ASC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normal adipocytes</w:t>
      </w:r>
      <w:r>
        <w:t xml:space="preserve"> </w:t>
      </w:r>
      <w:r>
        <w:t xml:space="preserve">(ASC) regardless of significance.</w:t>
      </w:r>
      <w:r>
        <w:t xml:space="preserve"> </w:t>
      </w:r>
      <w:r>
        <w:t xml:space="preserve">The results 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_Fig_Islet_YAPC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YAPC cells</w:t>
      </w:r>
      <w:r>
        <w:t xml:space="preserve">, which are derived from pancreatic</w:t>
      </w:r>
      <w:r>
        <w:t xml:space="preserve"> </w:t>
      </w:r>
      <w:r>
        <w:t xml:space="preserve">carcinoma cells. Results are shown regardless of significance and</w:t>
      </w:r>
      <w:r>
        <w:t xml:space="preserve"> </w:t>
      </w:r>
      <w:r>
        <w:t xml:space="preserve">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Figures/Supplemental_FigX_Nucb2_eQTL.pdf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eQTLs at the position of the</w:t>
      </w:r>
      <w:r>
        <w:t xml:space="preserve"> </w:t>
      </w:r>
      <w:r>
        <w:t xml:space="preserve">gene, nor any strong distal eQTL anywhere else in the genome.</w:t>
      </w:r>
      <w:r>
        <w:t xml:space="preserve"> </w:t>
      </w:r>
    </w:p>
    <w:bookmarkStart w:id="192" w:name="refs"/>
    <w:bookmarkStart w:id="100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0"/>
    <w:bookmarkStart w:id="101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1"/>
    <w:bookmarkStart w:id="102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2"/>
    <w:bookmarkStart w:id="103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3"/>
    <w:bookmarkStart w:id="104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4"/>
    <w:bookmarkStart w:id="105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5"/>
    <w:bookmarkStart w:id="106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6"/>
    <w:bookmarkStart w:id="107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7"/>
    <w:bookmarkStart w:id="108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08"/>
    <w:bookmarkStart w:id="109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09"/>
    <w:bookmarkStart w:id="110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0"/>
    <w:bookmarkStart w:id="111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1"/>
    <w:bookmarkStart w:id="112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2"/>
    <w:bookmarkStart w:id="113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3"/>
    <w:bookmarkStart w:id="114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4"/>
    <w:bookmarkStart w:id="115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5"/>
    <w:bookmarkStart w:id="116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6"/>
    <w:bookmarkStart w:id="117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7"/>
    <w:bookmarkStart w:id="118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18"/>
    <w:bookmarkStart w:id="119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19"/>
    <w:bookmarkStart w:id="120" w:name="ref-pmid240136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Westra, H.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identification of trans e</w:t>
      </w:r>
      <w:r>
        <w:t xml:space="preserve">Q</w:t>
      </w:r>
      <w:r>
        <w:t xml:space="preserve">T</w:t>
      </w:r>
      <w:r>
        <w:t xml:space="preserve">L</w:t>
      </w:r>
      <w:r>
        <w:t xml:space="preserve">s as putative drivers of known disease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45</w:t>
      </w:r>
      <w:r>
        <w:t xml:space="preserve">, 1238–1243 (2013).</w:t>
      </w:r>
    </w:p>
    <w:bookmarkEnd w:id="120"/>
    <w:bookmarkStart w:id="121" w:name="ref-pmid35545678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Nathan,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Single-cell eQTL models reveal dynamic t cell state dependence of disease loci.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606</w:t>
      </w:r>
      <w:r>
        <w:t xml:space="preserve">, 120–128 (2022).</w:t>
      </w:r>
    </w:p>
    <w:bookmarkEnd w:id="121"/>
    <w:bookmarkStart w:id="122" w:name="ref-pmid3635065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2"/>
    <w:bookmarkStart w:id="123" w:name="ref-pmid3455683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3"/>
    <w:bookmarkStart w:id="124" w:name="ref-pmid28089486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4"/>
    <w:bookmarkStart w:id="125" w:name="ref-pmid10889786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5"/>
    <w:bookmarkStart w:id="126" w:name="ref-pmid31343992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Gene loci associated with insulin secretion in islets from nondiabetic mice.</w:t>
      </w:r>
      <w:r>
        <w:t xml:space="preserve"> </w:t>
      </w:r>
      <w:r>
        <w:rPr>
          <w:iCs/>
          <w:i/>
        </w:rPr>
        <w:t xml:space="preserve">The Journal of Clinical Investigation</w:t>
      </w:r>
      <w:r>
        <w:t xml:space="preserve"> </w:t>
      </w:r>
      <w:r>
        <w:rPr>
          <w:bCs/>
          <w:b/>
        </w:rPr>
        <w:t xml:space="preserve">129</w:t>
      </w:r>
      <w:r>
        <w:t xml:space="preserve">, 4419–4432 (2019).</w:t>
      </w:r>
    </w:p>
    <w:bookmarkEnd w:id="126"/>
    <w:bookmarkStart w:id="127" w:name="ref-pmid22892839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7"/>
    <w:bookmarkStart w:id="128" w:name="ref-pmid18716833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8"/>
    <w:bookmarkStart w:id="129" w:name="ref-pmid31133439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9"/>
    <w:bookmarkStart w:id="130" w:name="ref-pmid21411855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30"/>
    <w:bookmarkStart w:id="131" w:name="ref-pmid1701883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31"/>
    <w:bookmarkStart w:id="132" w:name="ref-pmid30591514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32"/>
    <w:bookmarkStart w:id="133" w:name="ref-pmid38383808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3"/>
    <w:bookmarkStart w:id="135" w:name="ref-fgsea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4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5"/>
    <w:bookmarkStart w:id="136" w:name="ref-pmid16199517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6"/>
    <w:bookmarkStart w:id="137" w:name="ref-pmid1913341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7"/>
    <w:bookmarkStart w:id="138" w:name="ref-pmid28955384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8"/>
    <w:bookmarkStart w:id="139" w:name="ref-pmid2891281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39"/>
    <w:bookmarkStart w:id="140" w:name="ref-pmid28901330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40"/>
    <w:bookmarkStart w:id="141" w:name="ref-pmid24969772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1"/>
    <w:bookmarkStart w:id="142" w:name="ref-pmid1849277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2"/>
    <w:bookmarkStart w:id="143" w:name="ref-pmid22560213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3"/>
    <w:bookmarkStart w:id="144" w:name="ref-pmid1984127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4"/>
    <w:bookmarkStart w:id="145" w:name="ref-pmid17389767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5"/>
    <w:bookmarkStart w:id="146" w:name="ref-pmid1280537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6"/>
    <w:bookmarkStart w:id="147" w:name="ref-pmid12618528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7"/>
    <w:bookmarkStart w:id="148" w:name="ref-pmid16357043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8"/>
    <w:bookmarkStart w:id="149" w:name="ref-pmid15644454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49"/>
    <w:bookmarkStart w:id="150" w:name="ref-pmid16403437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50"/>
    <w:bookmarkStart w:id="151" w:name="ref-pmid2859249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1"/>
    <w:bookmarkStart w:id="152" w:name="ref-pmid1767409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2"/>
    <w:bookmarkStart w:id="153" w:name="ref-pmid1551466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3"/>
    <w:bookmarkStart w:id="154" w:name="ref-pmid24781408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4"/>
    <w:bookmarkStart w:id="155" w:name="ref-pmid17008526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5"/>
    <w:bookmarkStart w:id="156" w:name="ref-pmid30290005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6"/>
    <w:bookmarkStart w:id="157" w:name="ref-pmid30034573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7"/>
    <w:bookmarkStart w:id="158" w:name="ref-pmid2388120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58"/>
    <w:bookmarkStart w:id="159" w:name="ref-pmid21266327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59"/>
    <w:bookmarkStart w:id="160" w:name="ref-pmid24582093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0"/>
    <w:bookmarkStart w:id="161" w:name="ref-pmid35585199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1"/>
    <w:bookmarkStart w:id="162" w:name="ref-pmid30310815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2"/>
    <w:bookmarkStart w:id="163" w:name="ref-pmid11254472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3"/>
    <w:bookmarkStart w:id="164" w:name="ref-pmid23197361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4"/>
    <w:bookmarkStart w:id="165" w:name="ref-pmid2741101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5"/>
    <w:bookmarkStart w:id="166" w:name="ref-pmid25385872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6"/>
    <w:bookmarkStart w:id="167" w:name="ref-pmid34450194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7"/>
    <w:bookmarkStart w:id="168" w:name="ref-pmid21459330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68"/>
    <w:bookmarkStart w:id="169" w:name="ref-pmid12114611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69"/>
    <w:bookmarkStart w:id="170" w:name="ref-pmid33648925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0"/>
    <w:bookmarkStart w:id="171" w:name="ref-pmid28753229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1"/>
    <w:bookmarkStart w:id="172" w:name="ref-pmid17047224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2"/>
    <w:bookmarkStart w:id="173" w:name="ref-pmid28683283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3"/>
    <w:bookmarkStart w:id="174" w:name="ref-pmid15685170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4"/>
    <w:bookmarkStart w:id="175" w:name="ref-pmid33603744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5"/>
    <w:bookmarkStart w:id="176" w:name="ref-pmid32281000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6"/>
    <w:bookmarkStart w:id="177" w:name="ref-pmid27007849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7"/>
    <w:bookmarkStart w:id="178" w:name="ref-pmid28823510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78"/>
    <w:bookmarkStart w:id="179" w:name="ref-pmid24520198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79"/>
    <w:bookmarkStart w:id="180" w:name="ref-pmid21190462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80"/>
    <w:bookmarkStart w:id="181" w:name="ref-pmid16631807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1"/>
    <w:bookmarkStart w:id="182" w:name="ref-pmid31051098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2"/>
    <w:bookmarkStart w:id="183" w:name="ref-pmid344755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Vosa, U.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arge-scale cis- and trans-e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analyses identify thousands of genetic loci and polygenic scores that regulate blood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53</w:t>
      </w:r>
      <w:r>
        <w:t xml:space="preserve">, 1300–1310 (2021).</w:t>
      </w:r>
    </w:p>
    <w:bookmarkEnd w:id="183"/>
    <w:bookmarkStart w:id="184" w:name="ref-pmid29782925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4"/>
    <w:bookmarkStart w:id="185" w:name="ref-pmid12082173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5"/>
    <w:bookmarkStart w:id="186" w:name="ref-pmid27304973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6"/>
    <w:bookmarkStart w:id="187" w:name="ref-pmid28622505"/>
    <w:p>
      <w:pPr>
        <w:pStyle w:val="Bibliography"/>
      </w:pPr>
      <w:r>
        <w:t xml:space="preserve">87.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7"/>
    <w:bookmarkStart w:id="188" w:name="ref-pmid29906445"/>
    <w:p>
      <w:pPr>
        <w:pStyle w:val="Bibliography"/>
      </w:pPr>
      <w:r>
        <w:t xml:space="preserve">88.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8"/>
    <w:bookmarkStart w:id="189" w:name="ref-pmid24993278"/>
    <w:p>
      <w:pPr>
        <w:pStyle w:val="Bibliography"/>
      </w:pPr>
      <w:r>
        <w:t xml:space="preserve">89.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89"/>
    <w:bookmarkStart w:id="190" w:name="ref-pmid23537085"/>
    <w:p>
      <w:pPr>
        <w:pStyle w:val="Bibliography"/>
      </w:pPr>
      <w:r>
        <w:t xml:space="preserve">90.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90"/>
    <w:bookmarkStart w:id="191" w:name="ref-pmid22108805"/>
    <w:p>
      <w:pPr>
        <w:pStyle w:val="Bibliography"/>
      </w:pPr>
      <w:r>
        <w:t xml:space="preserve">91.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91"/>
    <w:bookmarkEnd w:id="192"/>
    <w:bookmarkEnd w:id="1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df" /><Relationship Type="http://schemas.openxmlformats.org/officeDocument/2006/relationships/image" Id="rId27" Target="media/rId27.pdf" /><Relationship Type="http://schemas.openxmlformats.org/officeDocument/2006/relationships/image" Id="rId31" Target="media/rId31.pdf" /><Relationship Type="http://schemas.openxmlformats.org/officeDocument/2006/relationships/image" Id="rId35" Target="media/rId35.pdf" /><Relationship Type="http://schemas.openxmlformats.org/officeDocument/2006/relationships/image" Id="rId39" Target="media/rId39.pdf" /><Relationship Type="http://schemas.openxmlformats.org/officeDocument/2006/relationships/image" Id="rId43" Target="media/rId43.pdf" /><Relationship Type="http://schemas.openxmlformats.org/officeDocument/2006/relationships/image" Id="rId47" Target="media/rId47.pdf" /><Relationship Type="http://schemas.openxmlformats.org/officeDocument/2006/relationships/image" Id="rId91" Target="media/rId91.png" /><Relationship Type="http://schemas.openxmlformats.org/officeDocument/2006/relationships/image" Id="rId85" Target="media/rId85.png" /><Relationship Type="http://schemas.openxmlformats.org/officeDocument/2006/relationships/image" Id="rId79" Target="media/rId79.png" /><Relationship Type="http://schemas.openxmlformats.org/officeDocument/2006/relationships/image" Id="rId82" Target="media/rId82.pdf" /><Relationship Type="http://schemas.openxmlformats.org/officeDocument/2006/relationships/image" Id="rId94" Target="media/rId94.png" /><Relationship Type="http://schemas.openxmlformats.org/officeDocument/2006/relationships/image" Id="rId88" Target="media/rId88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61" Target="media/rId61.pdf" /><Relationship Type="http://schemas.openxmlformats.org/officeDocument/2006/relationships/image" Id="rId64" Target="media/rId64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97" Target="media/rId97.pdf" /><Relationship Type="http://schemas.openxmlformats.org/officeDocument/2006/relationships/hyperlink" Id="rId52" Target="https://clue.io/query/" TargetMode="External" /><Relationship Type="http://schemas.openxmlformats.org/officeDocument/2006/relationships/hyperlink" Id="rId134" Target="https://doi.org/10.1101/060012" TargetMode="External" /><Relationship Type="http://schemas.openxmlformats.org/officeDocument/2006/relationships/hyperlink" Id="rId58" Target="https://figshare.com/" TargetMode="External" /><Relationship Type="http://schemas.openxmlformats.org/officeDocument/2006/relationships/hyperlink" Id="rId57" Target="https://www.ncbi.nlm.nih.gov/ge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2" Target="https://clue.io/query/" TargetMode="External" /><Relationship Type="http://schemas.openxmlformats.org/officeDocument/2006/relationships/hyperlink" Id="rId134" Target="https://doi.org/10.1101/060012" TargetMode="External" /><Relationship Type="http://schemas.openxmlformats.org/officeDocument/2006/relationships/hyperlink" Id="rId58" Target="https://figshare.com/" TargetMode="External" /><Relationship Type="http://schemas.openxmlformats.org/officeDocument/2006/relationships/hyperlink" Id="rId57" Target="https://www.ncbi.nlm.nih.gov/ge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metabolic traits</dc:title>
  <dc:creator/>
  <cp:keywords/>
  <dcterms:created xsi:type="dcterms:W3CDTF">2024-10-28T17:21:12Z</dcterms:created>
  <dcterms:modified xsi:type="dcterms:W3CDTF">2024-10-28T17:21:12Z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